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7F" w:rsidRPr="00E37F12" w:rsidRDefault="006B2B7F" w:rsidP="00E37F12">
      <w:pPr>
        <w:pStyle w:val="NoSpacing"/>
        <w:jc w:val="both"/>
        <w:rPr>
          <w:b/>
        </w:rPr>
      </w:pPr>
      <w:r w:rsidRPr="00E37F12">
        <w:rPr>
          <w:b/>
        </w:rPr>
        <w:t>TEHNIČKI OPIS</w:t>
      </w:r>
    </w:p>
    <w:p w:rsidR="006B2B7F" w:rsidRPr="00E37F12" w:rsidRDefault="006B2B7F" w:rsidP="00E37F12">
      <w:pPr>
        <w:pStyle w:val="NoSpacing"/>
        <w:numPr>
          <w:ilvl w:val="0"/>
          <w:numId w:val="3"/>
        </w:numPr>
        <w:jc w:val="both"/>
        <w:rPr>
          <w:b/>
        </w:rPr>
      </w:pPr>
      <w:r w:rsidRPr="00E37F12">
        <w:rPr>
          <w:b/>
        </w:rPr>
        <w:t>LOKACIJA:</w:t>
      </w:r>
    </w:p>
    <w:p w:rsidR="006B2B7F" w:rsidRPr="00E37F12" w:rsidRDefault="006B2B7F" w:rsidP="00E37F12">
      <w:pPr>
        <w:pStyle w:val="NoSpacing"/>
        <w:jc w:val="both"/>
      </w:pPr>
      <w:r w:rsidRPr="00E37F12">
        <w:t>Ovim projektom je predvi</w:t>
      </w:r>
      <w:r w:rsidRPr="00E37F12">
        <w:rPr>
          <w:lang w:val="sr-Latn-CS"/>
        </w:rPr>
        <w:t>đ</w:t>
      </w:r>
      <w:r w:rsidRPr="00E37F12">
        <w:t>ena sanacija i adaptacija sale u okviru objekta Javne biblioteke u Doljevacu spratnosti P+1 (prizmemlje i sprat) na k.p.br. 2500 K.O. Doljevac.</w:t>
      </w:r>
    </w:p>
    <w:p w:rsidR="006B2B7F" w:rsidRPr="00E37F12" w:rsidRDefault="006B2B7F" w:rsidP="00E37F12">
      <w:pPr>
        <w:pStyle w:val="NoSpacing"/>
        <w:jc w:val="both"/>
      </w:pPr>
    </w:p>
    <w:p w:rsidR="006B2B7F" w:rsidRPr="00E37F12" w:rsidRDefault="006B2B7F" w:rsidP="00E37F12">
      <w:pPr>
        <w:pStyle w:val="NoSpacing"/>
        <w:numPr>
          <w:ilvl w:val="0"/>
          <w:numId w:val="3"/>
        </w:numPr>
        <w:jc w:val="both"/>
        <w:rPr>
          <w:b/>
          <w:lang w:val="en-US"/>
        </w:rPr>
      </w:pPr>
      <w:r w:rsidRPr="00E37F12">
        <w:rPr>
          <w:b/>
        </w:rPr>
        <w:t>ARHITEKTONSKO REŠENjE</w:t>
      </w:r>
      <w:r w:rsidRPr="00E37F12">
        <w:rPr>
          <w:b/>
          <w:lang w:val="en-US"/>
        </w:rPr>
        <w:t>:</w:t>
      </w:r>
    </w:p>
    <w:p w:rsidR="006B2B7F" w:rsidRPr="00E37F12" w:rsidRDefault="006B2B7F" w:rsidP="00E37F12">
      <w:pPr>
        <w:pStyle w:val="NoSpacing"/>
        <w:jc w:val="both"/>
      </w:pPr>
      <w:r w:rsidRPr="00E37F12">
        <w:t>Sala u okviru objekta Javne biblioteke u Doljevcu broji 355 sedećih mesta. Sama sala je nepravilnog oblika dimenzija u nadužem i najširem delu sale 27,72m x 23,34m i  sastoji se od gledališta i pozornice.</w:t>
      </w:r>
    </w:p>
    <w:p w:rsidR="006B2B7F" w:rsidRPr="00E37F12" w:rsidRDefault="006B2B7F" w:rsidP="00E37F12">
      <w:pPr>
        <w:pStyle w:val="NoSpacing"/>
        <w:jc w:val="both"/>
        <w:rPr>
          <w:lang/>
        </w:rPr>
      </w:pPr>
      <w:r w:rsidRPr="00E37F12">
        <w:t>Površina gledališta je 298,59m2, površina pozornice je 120,42m2. Sanacijom i adaptacijom sale predvi</w:t>
      </w:r>
      <w:r w:rsidRPr="00E37F12">
        <w:rPr>
          <w:lang/>
        </w:rPr>
        <w:t>đeno je da se zadrži postojeći broj sedećih mesta. Postojeći pod je pod nagibom od ulaza u salu ka pozornici, ulazni deo je nagiba 4 stepeni središnji deo sale 9 stepeni, pod u delu ispred pozornice je ravan.</w:t>
      </w:r>
    </w:p>
    <w:p w:rsidR="006B2B7F" w:rsidRPr="00E37F12" w:rsidRDefault="006B2B7F" w:rsidP="00E37F12">
      <w:pPr>
        <w:pStyle w:val="NoSpacing"/>
        <w:jc w:val="both"/>
        <w:rPr>
          <w:lang/>
        </w:rPr>
      </w:pPr>
      <w:r w:rsidRPr="00E37F12">
        <w:rPr>
          <w:lang/>
        </w:rPr>
        <w:t>Sanacijom i adaptacijom je predviđena zamena podne obloge sale koja je trenutno obložena itisonom koji je dotrajao sa vidljivim tragovima korišćenja, pod pozornice sale je od parketa koji je u dobrom stanju i nije potrebna njegova zamena. Zidovi gledališta su obloženi pločama do visine spuštenog plafona i potrebna je njihova zamena. Zidovi i plafon pozornice su gletovani i završno bojeni poludisperzivnom belom bojom, potrebno je ponovno bojenje zidova  i plafona pozornice. Plafon gledališta je obložen lamperijom koja bi bila zamenjena pločama tipa Armstrong dimenzija 60x60cm ili slično.</w:t>
      </w:r>
    </w:p>
    <w:p w:rsidR="006B2B7F" w:rsidRPr="00E37F12" w:rsidRDefault="006B2B7F" w:rsidP="00E37F12">
      <w:pPr>
        <w:pStyle w:val="NoSpacing"/>
        <w:jc w:val="both"/>
        <w:rPr>
          <w:lang/>
        </w:rPr>
      </w:pPr>
      <w:r w:rsidRPr="00E37F12">
        <w:rPr>
          <w:lang/>
        </w:rPr>
        <w:t>Potrebna je zamena kompletne rasvete sale. Nova rasveta predvidela bi se kao LED trakasto osvetljenje koje se nalazi ispod skrivača, duž bočnih zidova gledališta, tačkasto osvetljenje na gazištu gde su sedišta, tačkasto osvetljenje u plafonu gledališta. Osvetljenje pozornice je predviđeno putem reflektora smeštenim na reflektorskom mostu.</w:t>
      </w:r>
    </w:p>
    <w:p w:rsidR="006B2B7F" w:rsidRPr="00E37F12" w:rsidRDefault="006B2B7F" w:rsidP="00E37F12">
      <w:pPr>
        <w:pStyle w:val="NoSpacing"/>
        <w:jc w:val="both"/>
      </w:pPr>
    </w:p>
    <w:p w:rsidR="006B2B7F" w:rsidRPr="00E37F12" w:rsidRDefault="006B2B7F" w:rsidP="00E37F12">
      <w:pPr>
        <w:pStyle w:val="NoSpacing"/>
        <w:numPr>
          <w:ilvl w:val="0"/>
          <w:numId w:val="3"/>
        </w:numPr>
        <w:jc w:val="both"/>
        <w:rPr>
          <w:b/>
        </w:rPr>
      </w:pPr>
      <w:r w:rsidRPr="00E37F12">
        <w:rPr>
          <w:b/>
        </w:rPr>
        <w:t>MATERIJALIZACIJA:</w:t>
      </w:r>
    </w:p>
    <w:p w:rsidR="006B2B7F" w:rsidRPr="00E37F12" w:rsidRDefault="006B2B7F" w:rsidP="00E37F12">
      <w:pPr>
        <w:pStyle w:val="NoSpacing"/>
        <w:jc w:val="both"/>
      </w:pPr>
      <w:r w:rsidRPr="00E37F12">
        <w:t xml:space="preserve">Nova obloga bočnih zidova gledališta sastoji se od akustičih gipskartonskih ploča na metalnoj podkonstrukciji i to 2x12.5mm. Između C profila predviđena je mineralna vuna odgovarajuće čvrstoće debljine 5cm, kao akustični apsorber za oblogu zidova. U visini zidova od 1,4m gledališta predviđena je obloga od sintetičkog materijala odgovarajućih akustičnih karakteristika. Nova plafonska konstrukcija predviđena je od mineralnih poloča tipa Armstrong ili sl. dimenzije 60x60cm na metalnoj podkonstukciji takođe zadovoljavajućih akustičnih karakteristika. Podna obloga gledališta predviđena je od sintetičkog materijala – itisona odgovarajućeg stepena vatrootpornosti. Predviđena je zamena postojećih sedišta novim odgovarajućih karakteristika. </w:t>
      </w:r>
    </w:p>
    <w:p w:rsidR="006B2B7F" w:rsidRPr="00E37F12" w:rsidRDefault="006B2B7F" w:rsidP="00E37F12">
      <w:pPr>
        <w:pStyle w:val="NoSpacing"/>
        <w:jc w:val="both"/>
      </w:pPr>
      <w:r w:rsidRPr="00E37F12">
        <w:t>U okviru pozornice predviđena je zamena postojećih cugova bine novim elektromotornim dekoraterski cugom kao i novom svečanom zavesom. U delu postojećih prozora gledališta predviđena je zamena zavesa panelnim netransparentnim zavesama.</w:t>
      </w:r>
    </w:p>
    <w:p w:rsidR="005B2A0A" w:rsidRPr="00E37F12" w:rsidRDefault="005B2A0A" w:rsidP="00E37F12">
      <w:pPr>
        <w:pStyle w:val="NoSpacing"/>
        <w:jc w:val="both"/>
      </w:pPr>
      <w:bookmarkStart w:id="0" w:name="_GoBack"/>
      <w:bookmarkEnd w:id="0"/>
      <w:r w:rsidRPr="00E37F12">
        <w:t>Način sprovođenja kontrole i obezbeđivanje garancije kvaliteta</w:t>
      </w:r>
    </w:p>
    <w:p w:rsidR="005B2A0A" w:rsidRPr="00E37F12" w:rsidRDefault="005B2A0A" w:rsidP="00E37F12">
      <w:pPr>
        <w:pStyle w:val="NoSpacing"/>
        <w:jc w:val="both"/>
        <w:rPr>
          <w:color w:val="000000"/>
          <w:lang w:val="ru-RU"/>
        </w:rPr>
      </w:pPr>
      <w:r w:rsidRPr="00E37F12">
        <w:rPr>
          <w:bCs/>
          <w:lang w:val="ru-RU"/>
        </w:rPr>
        <w:t xml:space="preserve">Za ukupan ugrađeni materijal </w:t>
      </w:r>
      <w:r w:rsidRPr="00E37F12">
        <w:rPr>
          <w:lang w:val="ru-RU"/>
        </w:rPr>
        <w:t xml:space="preserve">Izvođač radova </w:t>
      </w:r>
      <w:r w:rsidRPr="00E37F12">
        <w:rPr>
          <w:bCs/>
          <w:lang w:val="ru-RU"/>
        </w:rPr>
        <w:t xml:space="preserve">mora da ima sertifikate kvaliteta i ateste koji se zahtevaju po važećim propisima i merama za objekte te vrste u skladu sa projektnom </w:t>
      </w:r>
      <w:r w:rsidRPr="00E37F12">
        <w:rPr>
          <w:color w:val="000000"/>
          <w:lang w:val="ru-RU"/>
        </w:rPr>
        <w:t>dokumentacijom.</w:t>
      </w:r>
    </w:p>
    <w:p w:rsidR="005B2A0A" w:rsidRPr="00E37F12" w:rsidRDefault="005B2A0A" w:rsidP="00E37F12">
      <w:pPr>
        <w:pStyle w:val="NoSpacing"/>
        <w:jc w:val="both"/>
        <w:rPr>
          <w:color w:val="000000"/>
          <w:lang w:val="ru-RU"/>
        </w:rPr>
      </w:pPr>
      <w:r w:rsidRPr="00E37F12">
        <w:rPr>
          <w:color w:val="000000"/>
          <w:lang w:val="ru-RU"/>
        </w:rPr>
        <w:t xml:space="preserve">Dostavljeni izveštaji o kvalitetu ugrađenog materijala moraju biti izdati od </w:t>
      </w:r>
      <w:r w:rsidRPr="00E37F12">
        <w:rPr>
          <w:color w:val="000000"/>
        </w:rPr>
        <w:t xml:space="preserve"> eksterne </w:t>
      </w:r>
      <w:r w:rsidRPr="00E37F12">
        <w:rPr>
          <w:color w:val="000000"/>
          <w:lang w:val="ru-RU"/>
        </w:rPr>
        <w:t>akreditovane laboratorije za taj tip materijala.</w:t>
      </w:r>
    </w:p>
    <w:p w:rsidR="005B2A0A" w:rsidRPr="00E37F12" w:rsidRDefault="005B2A0A" w:rsidP="00E37F12">
      <w:pPr>
        <w:pStyle w:val="NoSpacing"/>
        <w:jc w:val="both"/>
        <w:rPr>
          <w:color w:val="000000"/>
          <w:lang w:val="ru-RU"/>
        </w:rPr>
      </w:pPr>
      <w:r w:rsidRPr="00E37F12">
        <w:rPr>
          <w:color w:val="000000"/>
          <w:lang w:val="ru-RU"/>
        </w:rPr>
        <w:t>Ukoliko Naručilac utvrdi da upotrebljeni materijal ne odgovara standardima i tehničkim propisima, on ga može odbiti i zabraniti njegovu upotrebu. U slučaju spora merodavan je nalaz ovlašćene organizacije za kontrolu kvaliteta.</w:t>
      </w:r>
    </w:p>
    <w:p w:rsidR="005B2A0A" w:rsidRPr="00E37F12" w:rsidRDefault="005B2A0A" w:rsidP="00E37F12">
      <w:pPr>
        <w:pStyle w:val="NoSpacing"/>
        <w:jc w:val="both"/>
        <w:rPr>
          <w:color w:val="000000"/>
          <w:lang w:val="ru-RU"/>
        </w:rPr>
      </w:pPr>
      <w:r w:rsidRPr="00E37F12">
        <w:rPr>
          <w:color w:val="000000"/>
          <w:lang w:val="ru-RU"/>
        </w:rPr>
        <w:t>Izvođač radova je dužan da o svom trošku obavi odgovarajuća ispitivanja materijala. Pored toga, on je odgovoran ukoliko upotrebi materijal koji ne odgovara kvalitetu.</w:t>
      </w:r>
    </w:p>
    <w:p w:rsidR="005B2A0A" w:rsidRPr="00E37F12" w:rsidRDefault="005B2A0A" w:rsidP="00E37F12">
      <w:pPr>
        <w:pStyle w:val="NoSpacing"/>
        <w:jc w:val="both"/>
        <w:rPr>
          <w:color w:val="000000"/>
          <w:lang w:val="ru-RU"/>
        </w:rPr>
      </w:pPr>
      <w:r w:rsidRPr="00E37F12">
        <w:rPr>
          <w:bCs/>
          <w:lang w:val="ru-RU"/>
        </w:rPr>
        <w:t xml:space="preserve">U slučaju da je zbog upotrebe nekvalitetnog materijala ugrožena bezbednost ili funkcionalnost objekta, Naručilac ima pravo da traži od </w:t>
      </w:r>
      <w:r w:rsidRPr="00E37F12">
        <w:rPr>
          <w:lang w:val="ru-RU"/>
        </w:rPr>
        <w:t xml:space="preserve">Izvođača radova da </w:t>
      </w:r>
      <w:r w:rsidRPr="00E37F12">
        <w:rPr>
          <w:bCs/>
          <w:lang w:val="ru-RU"/>
        </w:rPr>
        <w:t xml:space="preserve">poruši izvedene radove i da ih o svom trošku ponovo izvede u skladu sa tehničkom dokumentacijom i ugovornim odredbama. </w:t>
      </w:r>
      <w:r w:rsidRPr="00E37F12">
        <w:rPr>
          <w:color w:val="000000"/>
          <w:lang w:val="ru-RU"/>
        </w:rPr>
        <w:t>Ukoliko Izvođač radova u određenom roku to ne učini, Naručilac ima pravo da angažuje drugo lice na teret Izvođača radova.</w:t>
      </w:r>
    </w:p>
    <w:p w:rsidR="005B2A0A" w:rsidRPr="00E37F12" w:rsidRDefault="005B2A0A" w:rsidP="00E37F12">
      <w:pPr>
        <w:pStyle w:val="NoSpacing"/>
        <w:jc w:val="both"/>
        <w:rPr>
          <w:color w:val="000000"/>
          <w:lang w:val="ru-RU"/>
        </w:rPr>
      </w:pPr>
      <w:r w:rsidRPr="00E37F12">
        <w:rPr>
          <w:color w:val="000000"/>
          <w:lang w:val="ru-RU"/>
        </w:rPr>
        <w:t xml:space="preserve">Stručni nadzor nad izvođenjem ugovorenih radova se vrši u skladu sa zakonom kojim se uređuje planiranje i izgradnja. </w:t>
      </w:r>
    </w:p>
    <w:p w:rsidR="005B2A0A" w:rsidRPr="00E37F12" w:rsidRDefault="005B2A0A" w:rsidP="00E37F12">
      <w:pPr>
        <w:pStyle w:val="NoSpacing"/>
        <w:jc w:val="both"/>
        <w:rPr>
          <w:color w:val="000000"/>
          <w:lang w:val="ru-RU"/>
        </w:rPr>
      </w:pPr>
      <w:r w:rsidRPr="00E37F12">
        <w:rPr>
          <w:color w:val="000000"/>
          <w:lang w:val="ru-RU"/>
        </w:rPr>
        <w:t>Izvođač radova se ne oslobađa odgovornosti ako je šteta nastala zbog toga što je pri izvođenju određenih radova postupao po zahtevima Naručioca.</w:t>
      </w:r>
    </w:p>
    <w:p w:rsidR="005B2A0A" w:rsidRPr="00E37F12" w:rsidRDefault="005B2A0A" w:rsidP="00E37F12">
      <w:pPr>
        <w:pStyle w:val="NoSpacing"/>
        <w:jc w:val="both"/>
        <w:rPr>
          <w:color w:val="000000"/>
          <w:lang w:val="ru-RU"/>
        </w:rPr>
      </w:pPr>
      <w:r w:rsidRPr="00E37F12">
        <w:rPr>
          <w:color w:val="000000"/>
          <w:lang w:val="ru-RU"/>
        </w:rPr>
        <w:t xml:space="preserve">Kontrola i obezbeđivanje garancije kvaliteta sprovode se preko stručnog nadzora koji, u skladu sa zakonom, određuje Naručilac, koji proverava i utvrđuje da li su radovi izvedeni u skladu sa tehničkom dokumentacijom i predviđenom specifikacijom radova u pogledu vrste, količine, kvaliteta  i roka za </w:t>
      </w:r>
      <w:r w:rsidRPr="00E37F12">
        <w:rPr>
          <w:color w:val="000000"/>
          <w:lang w:val="ru-RU"/>
        </w:rPr>
        <w:lastRenderedPageBreak/>
        <w:t>izvođenje radova, o čemu redovno izveštava Naručioca, u skladu sa ugovorom o vršenju stručnog nadzora i prema zakonskim propisima.</w:t>
      </w:r>
    </w:p>
    <w:p w:rsidR="005B2A0A" w:rsidRPr="00E37F12" w:rsidRDefault="005B2A0A" w:rsidP="00E37F12">
      <w:pPr>
        <w:pStyle w:val="NoSpacing"/>
        <w:jc w:val="both"/>
        <w:rPr>
          <w:color w:val="000000"/>
          <w:lang w:val="ru-RU"/>
        </w:rPr>
      </w:pPr>
      <w:r w:rsidRPr="00E37F12">
        <w:rPr>
          <w:color w:val="000000"/>
          <w:lang w:val="ru-RU"/>
        </w:rPr>
        <w:t>Nakon okončanja svih predviđenih radova upisom u Građevinski dnevnik, izvođač radova je u obavezi da obavesti predstavnika naručioca i stručni nadzor, kako bi se potpisao Zapisnik o primopredaji radova.</w:t>
      </w:r>
    </w:p>
    <w:p w:rsidR="005B2A0A" w:rsidRPr="00E37F12" w:rsidRDefault="005B2A0A" w:rsidP="00E37F12">
      <w:pPr>
        <w:pStyle w:val="NoSpacing"/>
        <w:jc w:val="both"/>
        <w:rPr>
          <w:color w:val="000000"/>
          <w:lang w:val="ru-RU"/>
        </w:rPr>
      </w:pPr>
      <w:r w:rsidRPr="00E37F12">
        <w:rPr>
          <w:color w:val="000000"/>
          <w:lang w:val="ru-RU"/>
        </w:rPr>
        <w:t>Bitni zahtevi koji nisu uključeni u važeće tehničke norme i standarde, a koji se odnose na zaštitu životne sredine, energetsku efikasnost, bezbednost i druge okolnosti od opšteg interesa, moraju da se poštuju prilikom izvođenja građevinskih i građevinsko zanatskih radova, u skladu sa propisima kojima se uređuju navedene oblasti.</w:t>
      </w:r>
    </w:p>
    <w:p w:rsidR="005B2A0A" w:rsidRPr="00E37F12" w:rsidRDefault="005B2A0A" w:rsidP="00E37F12">
      <w:pPr>
        <w:pStyle w:val="NoSpacing"/>
        <w:jc w:val="both"/>
        <w:rPr>
          <w:color w:val="000000"/>
          <w:lang w:val="ru-RU"/>
        </w:rPr>
      </w:pPr>
      <w:r w:rsidRPr="00E37F12">
        <w:rPr>
          <w:color w:val="000000"/>
          <w:lang w:val="ru-RU"/>
        </w:rPr>
        <w:t>Kontrola izvođenja radova vršiće se i od strane lica odgovornog kod Naručioca za praćenje i kontrolisanje izvršenja  ugovora koji bude zaključen po sprovedenom postupku predmetne javne nabavke.</w:t>
      </w:r>
    </w:p>
    <w:p w:rsidR="005B2A0A" w:rsidRPr="00E37F12" w:rsidRDefault="005B2A0A" w:rsidP="00E37F12">
      <w:pPr>
        <w:pStyle w:val="NoSpacing"/>
        <w:jc w:val="both"/>
        <w:rPr>
          <w:rFonts w:eastAsia="Calibri-Bold"/>
          <w:bCs/>
        </w:rPr>
      </w:pPr>
    </w:p>
    <w:p w:rsidR="005B2A0A" w:rsidRPr="00E37F12" w:rsidRDefault="005B2A0A" w:rsidP="00E37F12">
      <w:pPr>
        <w:pStyle w:val="NoSpacing"/>
        <w:jc w:val="both"/>
        <w:rPr>
          <w:rFonts w:eastAsia="Calibri-Bold"/>
          <w:bCs/>
        </w:rPr>
      </w:pPr>
    </w:p>
    <w:p w:rsidR="005B2A0A" w:rsidRPr="00E37F12" w:rsidRDefault="005B2A0A" w:rsidP="00E37F12">
      <w:pPr>
        <w:pStyle w:val="NoSpacing"/>
        <w:jc w:val="both"/>
        <w:rPr>
          <w:color w:val="000000"/>
        </w:rPr>
      </w:pPr>
    </w:p>
    <w:p w:rsidR="005B2A0A" w:rsidRPr="00E37F12" w:rsidRDefault="00E37F12" w:rsidP="00E37F12">
      <w:pPr>
        <w:pStyle w:val="NoSpacing"/>
        <w:numPr>
          <w:ilvl w:val="0"/>
          <w:numId w:val="3"/>
        </w:numPr>
        <w:jc w:val="both"/>
        <w:rPr>
          <w:b/>
        </w:rPr>
      </w:pPr>
      <w:r w:rsidRPr="00E37F12">
        <w:rPr>
          <w:b/>
        </w:rPr>
        <w:t>ROK ZA IZVO</w:t>
      </w:r>
      <w:r w:rsidRPr="00E37F12">
        <w:rPr>
          <w:rFonts w:hint="eastAsia"/>
          <w:b/>
        </w:rPr>
        <w:t>Đ</w:t>
      </w:r>
      <w:r w:rsidRPr="00E37F12">
        <w:rPr>
          <w:b/>
        </w:rPr>
        <w:t>ENJE RADOVA</w:t>
      </w:r>
    </w:p>
    <w:p w:rsidR="005B2A0A" w:rsidRPr="00E37F12" w:rsidRDefault="005B2A0A" w:rsidP="00E37F12">
      <w:pPr>
        <w:pStyle w:val="NoSpacing"/>
        <w:jc w:val="both"/>
        <w:rPr>
          <w:lang w:val="sr-Cyrl-CS" w:eastAsia="sr-Cyrl-CS"/>
        </w:rPr>
      </w:pPr>
      <w:r w:rsidRPr="00E37F12">
        <w:rPr>
          <w:lang w:val="sr-Cyrl-CS" w:eastAsia="sr-Cyrl-CS"/>
        </w:rPr>
        <w:t xml:space="preserve">Rok za izvođenje građevinskih radova koji su predmet javne nabavke </w:t>
      </w:r>
      <w:r w:rsidRPr="00E37F12">
        <w:rPr>
          <w:color w:val="000000" w:themeColor="text1"/>
        </w:rPr>
        <w:t xml:space="preserve">jenajviše </w:t>
      </w:r>
      <w:r w:rsidR="00E37F12" w:rsidRPr="00E37F12">
        <w:rPr>
          <w:color w:val="000000" w:themeColor="text1"/>
        </w:rPr>
        <w:t>6</w:t>
      </w:r>
      <w:r w:rsidRPr="00E37F12">
        <w:rPr>
          <w:color w:val="000000" w:themeColor="text1"/>
        </w:rPr>
        <w:t>0 kalendarskih dana, od dana uvođenja u posao</w:t>
      </w:r>
      <w:r w:rsidRPr="00E37F12">
        <w:rPr>
          <w:color w:val="FF0000"/>
        </w:rPr>
        <w:t>.</w:t>
      </w:r>
      <w:r w:rsidRPr="00E37F12">
        <w:t>Nadzor je dužan da Izvođača uvede u posao 15 dana od potpisivanja Ugovora.</w:t>
      </w:r>
    </w:p>
    <w:p w:rsidR="005B2A0A" w:rsidRPr="00E37F12" w:rsidRDefault="005B2A0A" w:rsidP="00E37F12">
      <w:pPr>
        <w:pStyle w:val="NoSpacing"/>
        <w:jc w:val="both"/>
        <w:rPr>
          <w:bCs/>
          <w:lang w:val="ru-RU" w:eastAsia="sr-Cyrl-CS"/>
        </w:rPr>
      </w:pPr>
    </w:p>
    <w:p w:rsidR="005B2A0A" w:rsidRPr="00E37F12" w:rsidRDefault="00E37F12" w:rsidP="00E37F12">
      <w:pPr>
        <w:pStyle w:val="NoSpacing"/>
        <w:jc w:val="both"/>
        <w:rPr>
          <w:b/>
        </w:rPr>
      </w:pPr>
      <w:r>
        <w:rPr>
          <w:b/>
        </w:rPr>
        <w:t>5</w:t>
      </w:r>
      <w:r w:rsidRPr="00E37F12">
        <w:rPr>
          <w:b/>
        </w:rPr>
        <w:t>. OBILAZAK LOKACIJE ZA  IZVO</w:t>
      </w:r>
      <w:r w:rsidRPr="00E37F12">
        <w:rPr>
          <w:rFonts w:hint="eastAsia"/>
          <w:b/>
        </w:rPr>
        <w:t>Đ</w:t>
      </w:r>
      <w:r w:rsidRPr="00E37F12">
        <w:rPr>
          <w:b/>
        </w:rPr>
        <w:t>ENJE RADOVA I UVID U PROJEKTNU  DOKUMENTACIJU</w:t>
      </w:r>
    </w:p>
    <w:p w:rsidR="005B2A0A" w:rsidRPr="00E37F12" w:rsidRDefault="005B2A0A" w:rsidP="00E37F12">
      <w:pPr>
        <w:pStyle w:val="NoSpacing"/>
        <w:jc w:val="both"/>
        <w:rPr>
          <w:rFonts w:eastAsia="Calibri-Bold"/>
        </w:rPr>
      </w:pPr>
      <w:r w:rsidRPr="00E37F12">
        <w:rPr>
          <w:rFonts w:eastAsia="Calibri-Bold"/>
        </w:rPr>
        <w:t xml:space="preserve">Radi obezbeđivanja uslova za pripremu prihvatljivih ponuda,  Naručilac će omogućiti obilazak lokacije za izvođenje radova i uvid u projektnu dokumentaciju za predmetnu javnu nabavku, ali samo uz prethodnu prijavu, koja se podnosi dan pre nameravanog obilaska lokacije,  na memorandumu zainteresovanog lica i koja sadrži podatke o licima ovlašćenim za obilazak lokacije. </w:t>
      </w:r>
    </w:p>
    <w:p w:rsidR="005B2A0A" w:rsidRPr="00E37F12" w:rsidRDefault="005B2A0A" w:rsidP="00E37F12">
      <w:pPr>
        <w:pStyle w:val="NoSpacing"/>
        <w:jc w:val="both"/>
        <w:rPr>
          <w:rFonts w:eastAsia="Calibri-Bold"/>
        </w:rPr>
      </w:pPr>
      <w:r w:rsidRPr="00E37F12">
        <w:rPr>
          <w:rFonts w:eastAsia="Calibri-Bold"/>
        </w:rPr>
        <w:t>Zainteresovana licadostavljaju prijave na e-mail adresu Naručioca</w:t>
      </w:r>
      <w:bookmarkStart w:id="1" w:name="Text21"/>
      <w:bookmarkEnd w:id="1"/>
      <w:r w:rsidRPr="00E37F12">
        <w:rPr>
          <w:color w:val="000000"/>
        </w:rPr>
        <w:t xml:space="preserve"> n.bibliotekadoljevac@yahoo.com</w:t>
      </w:r>
      <w:r w:rsidRPr="00E37F12">
        <w:rPr>
          <w:rFonts w:eastAsia="Calibri-Bold"/>
        </w:rPr>
        <w:t xml:space="preserve">, koje moraju biti primljene od Naručioca najkasnije dva dana pre isteka roka za prijem ponuda. Obilazak lokacije nije moguć na dan isteka roka za prijem ponuda. </w:t>
      </w:r>
    </w:p>
    <w:p w:rsidR="005B2A0A" w:rsidRPr="00E37F12" w:rsidRDefault="005B2A0A" w:rsidP="00E37F12">
      <w:pPr>
        <w:pStyle w:val="NoSpacing"/>
        <w:jc w:val="both"/>
        <w:rPr>
          <w:rFonts w:eastAsia="Calibri-Bold"/>
        </w:rPr>
      </w:pPr>
      <w:r w:rsidRPr="00E37F12">
        <w:rPr>
          <w:rFonts w:eastAsia="Calibri-Bold"/>
        </w:rPr>
        <w:t>Lice za kontakt:</w:t>
      </w:r>
      <w:r w:rsidRPr="00E37F12">
        <w:rPr>
          <w:color w:val="000000"/>
        </w:rPr>
        <w:t>Bogi Mitić,</w:t>
      </w:r>
      <w:r w:rsidRPr="00E37F12">
        <w:rPr>
          <w:rFonts w:eastAsia="Calibri-Bold"/>
        </w:rPr>
        <w:t xml:space="preserve"> telefon</w:t>
      </w:r>
      <w:bookmarkStart w:id="2" w:name="Text23"/>
      <w:r w:rsidRPr="00E37F12">
        <w:rPr>
          <w:color w:val="000000"/>
        </w:rPr>
        <w:t xml:space="preserve"> 018/870 -</w:t>
      </w:r>
      <w:bookmarkEnd w:id="2"/>
      <w:r w:rsidRPr="00E37F12">
        <w:rPr>
          <w:color w:val="000000"/>
        </w:rPr>
        <w:t>814</w:t>
      </w:r>
      <w:r w:rsidRPr="00E37F12">
        <w:rPr>
          <w:rFonts w:eastAsia="Calibri-Bold"/>
        </w:rPr>
        <w:t>.</w:t>
      </w:r>
    </w:p>
    <w:p w:rsidR="005B2A0A" w:rsidRPr="00E37F12" w:rsidRDefault="005B2A0A" w:rsidP="00E37F12">
      <w:pPr>
        <w:pStyle w:val="NoSpacing"/>
        <w:jc w:val="both"/>
        <w:rPr>
          <w:rFonts w:eastAsia="Calibri-Bold"/>
        </w:rPr>
      </w:pPr>
      <w:r w:rsidRPr="00E37F12">
        <w:rPr>
          <w:rFonts w:eastAsia="Calibri-Bold"/>
        </w:rPr>
        <w:t xml:space="preserve">Sva zainteresovana lica koja nameravaju da podnesu ponudu moraju da izvrše obilazak lokacije za izvođenje radova </w:t>
      </w:r>
      <w:r w:rsidRPr="00E37F12">
        <w:rPr>
          <w:rFonts w:eastAsia="Calibri-Bold"/>
          <w:bCs/>
        </w:rPr>
        <w:t>i uvid u projektnu dokumentaciju</w:t>
      </w:r>
      <w:r w:rsidRPr="00E37F12">
        <w:rPr>
          <w:rFonts w:eastAsia="Calibri-Bold"/>
        </w:rPr>
        <w:t>, što će se evidentirati od strane Naručioca.</w:t>
      </w:r>
    </w:p>
    <w:p w:rsidR="005B2A0A" w:rsidRPr="00E37F12" w:rsidRDefault="005B2A0A" w:rsidP="00E37F12">
      <w:pPr>
        <w:pStyle w:val="NoSpacing"/>
        <w:jc w:val="both"/>
        <w:rPr>
          <w:color w:val="000000" w:themeColor="text1"/>
        </w:rPr>
      </w:pPr>
      <w:bookmarkStart w:id="3" w:name="_Hlk12272769"/>
      <w:r w:rsidRPr="00E37F12">
        <w:rPr>
          <w:rFonts w:eastAsia="Calibri-Bold"/>
        </w:rPr>
        <w:t xml:space="preserve">O izvršenom obilasku lokacije za izvođenje radova i o izvršenom uvidu u projektnu dokumentaciju, ponuđač daje izjavu na Obrascu izjave o obilasku lokacije za izvođenje radova i izvršenom uvidu u projektnu </w:t>
      </w:r>
      <w:r w:rsidRPr="00E37F12">
        <w:rPr>
          <w:rFonts w:eastAsia="Calibri-Bold"/>
          <w:color w:val="000000" w:themeColor="text1"/>
        </w:rPr>
        <w:t>dokumentaciju</w:t>
      </w:r>
      <w:r w:rsidR="00E37F12" w:rsidRPr="00E37F12">
        <w:rPr>
          <w:rFonts w:eastAsia="Calibri-Bold"/>
          <w:color w:val="000000" w:themeColor="text1"/>
        </w:rPr>
        <w:t>.</w:t>
      </w:r>
      <w:bookmarkEnd w:id="3"/>
    </w:p>
    <w:p w:rsidR="005B2A0A" w:rsidRPr="00E37F12" w:rsidRDefault="005B2A0A" w:rsidP="00E37F12">
      <w:pPr>
        <w:pStyle w:val="NoSpacing"/>
        <w:jc w:val="both"/>
      </w:pPr>
    </w:p>
    <w:sectPr w:rsidR="005B2A0A" w:rsidRPr="00E37F12" w:rsidSect="005B2A0A">
      <w:headerReference w:type="even" r:id="rId7"/>
      <w:headerReference w:type="default" r:id="rId8"/>
      <w:footerReference w:type="even" r:id="rId9"/>
      <w:footerReference w:type="default" r:id="rId10"/>
      <w:headerReference w:type="first" r:id="rId11"/>
      <w:footerReference w:type="first" r:id="rId12"/>
      <w:pgSz w:w="11900" w:h="16840"/>
      <w:pgMar w:top="851" w:right="843"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50" w:rsidRDefault="00F71E50" w:rsidP="00205E91">
      <w:pPr>
        <w:spacing w:line="240" w:lineRule="auto"/>
      </w:pPr>
      <w:r>
        <w:separator/>
      </w:r>
    </w:p>
  </w:endnote>
  <w:endnote w:type="continuationSeparator" w:id="1">
    <w:p w:rsidR="00F71E50" w:rsidRDefault="00F71E50" w:rsidP="00205E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50" w:rsidRDefault="00F71E50" w:rsidP="00205E91">
      <w:pPr>
        <w:spacing w:line="240" w:lineRule="auto"/>
      </w:pPr>
      <w:r>
        <w:separator/>
      </w:r>
    </w:p>
  </w:footnote>
  <w:footnote w:type="continuationSeparator" w:id="1">
    <w:p w:rsidR="00F71E50" w:rsidRDefault="00F71E50" w:rsidP="00205E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Pr="004F352D" w:rsidRDefault="005B2A0A" w:rsidP="005B2A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525"/>
    <w:multiLevelType w:val="hybridMultilevel"/>
    <w:tmpl w:val="790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2B7F"/>
    <w:rsid w:val="00205E91"/>
    <w:rsid w:val="00326CAB"/>
    <w:rsid w:val="003D3361"/>
    <w:rsid w:val="00510081"/>
    <w:rsid w:val="005B2A0A"/>
    <w:rsid w:val="006B2B7F"/>
    <w:rsid w:val="00E37F12"/>
    <w:rsid w:val="00F71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F"/>
    <w:pPr>
      <w:spacing w:after="0" w:line="260" w:lineRule="atLeast"/>
    </w:pPr>
    <w:rPr>
      <w:rFonts w:ascii="Frutiger" w:eastAsia="Times New Roman" w:hAnsi="Frutiger" w:cs="Times New Roman"/>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B7F"/>
    <w:pPr>
      <w:tabs>
        <w:tab w:val="center" w:pos="4153"/>
        <w:tab w:val="right" w:pos="8306"/>
      </w:tabs>
    </w:pPr>
  </w:style>
  <w:style w:type="character" w:customStyle="1" w:styleId="FooterChar">
    <w:name w:val="Footer Char"/>
    <w:basedOn w:val="DefaultParagraphFont"/>
    <w:link w:val="Footer"/>
    <w:rsid w:val="006B2B7F"/>
    <w:rPr>
      <w:rFonts w:ascii="Frutiger" w:eastAsia="Times New Roman" w:hAnsi="Frutiger" w:cs="Times New Roman"/>
      <w:szCs w:val="20"/>
      <w:lang w:val="sl-SI" w:eastAsia="sl-SI"/>
    </w:rPr>
  </w:style>
  <w:style w:type="paragraph" w:styleId="Header">
    <w:name w:val="header"/>
    <w:basedOn w:val="Normal"/>
    <w:link w:val="HeaderChar"/>
    <w:uiPriority w:val="99"/>
    <w:unhideWhenUsed/>
    <w:rsid w:val="006B2B7F"/>
    <w:pPr>
      <w:tabs>
        <w:tab w:val="center" w:pos="4680"/>
        <w:tab w:val="right" w:pos="9360"/>
      </w:tabs>
      <w:spacing w:line="240" w:lineRule="auto"/>
    </w:pPr>
  </w:style>
  <w:style w:type="character" w:customStyle="1" w:styleId="HeaderChar">
    <w:name w:val="Header Char"/>
    <w:basedOn w:val="DefaultParagraphFont"/>
    <w:link w:val="Header"/>
    <w:uiPriority w:val="99"/>
    <w:rsid w:val="006B2B7F"/>
    <w:rPr>
      <w:rFonts w:ascii="Frutiger" w:eastAsia="Times New Roman" w:hAnsi="Frutiger" w:cs="Times New Roman"/>
      <w:szCs w:val="20"/>
      <w:lang w:val="sl-SI" w:eastAsia="sl-SI"/>
    </w:rPr>
  </w:style>
  <w:style w:type="paragraph" w:styleId="ListParagraph">
    <w:name w:val="List Paragraph"/>
    <w:basedOn w:val="Normal"/>
    <w:uiPriority w:val="34"/>
    <w:qFormat/>
    <w:rsid w:val="006B2B7F"/>
    <w:pPr>
      <w:ind w:left="720"/>
      <w:contextualSpacing/>
    </w:pPr>
  </w:style>
  <w:style w:type="paragraph" w:customStyle="1" w:styleId="Default">
    <w:name w:val="Default"/>
    <w:link w:val="DefaultChar"/>
    <w:rsid w:val="005B2A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5B2A0A"/>
    <w:rPr>
      <w:rFonts w:ascii="Arial" w:eastAsia="Times New Roman" w:hAnsi="Arial" w:cs="Times New Roman"/>
      <w:color w:val="000000"/>
      <w:sz w:val="24"/>
      <w:szCs w:val="24"/>
    </w:rPr>
  </w:style>
  <w:style w:type="paragraph" w:customStyle="1" w:styleId="nabrajanjebold">
    <w:name w:val="nabrajanje bold"/>
    <w:basedOn w:val="Normal"/>
    <w:qFormat/>
    <w:rsid w:val="005B2A0A"/>
    <w:pPr>
      <w:numPr>
        <w:numId w:val="1"/>
      </w:numPr>
      <w:spacing w:line="240" w:lineRule="auto"/>
    </w:pPr>
    <w:rPr>
      <w:rFonts w:ascii="Times New Roman" w:eastAsia="Calibri-Bold" w:hAnsi="Times New Roman"/>
      <w:b/>
      <w:sz w:val="24"/>
      <w:szCs w:val="24"/>
      <w:lang w:val="en-US" w:eastAsia="en-US"/>
    </w:rPr>
  </w:style>
  <w:style w:type="paragraph" w:styleId="NoSpacing">
    <w:name w:val="No Spacing"/>
    <w:uiPriority w:val="1"/>
    <w:qFormat/>
    <w:rsid w:val="00E37F12"/>
    <w:pPr>
      <w:spacing w:after="0" w:line="240" w:lineRule="auto"/>
    </w:pPr>
    <w:rPr>
      <w:rFonts w:ascii="Frutiger" w:eastAsia="Times New Roman" w:hAnsi="Frutiger" w:cs="Times New Roman"/>
      <w:szCs w:val="20"/>
      <w:lang w:val="sl-SI"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 Mitic</dc:creator>
  <cp:lastModifiedBy>Jovica Pesic</cp:lastModifiedBy>
  <cp:revision>3</cp:revision>
  <dcterms:created xsi:type="dcterms:W3CDTF">2020-08-26T23:23:00Z</dcterms:created>
  <dcterms:modified xsi:type="dcterms:W3CDTF">2020-08-26T23:51:00Z</dcterms:modified>
</cp:coreProperties>
</file>